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c1d39aac8461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54358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BRANITELJSKI CENTAR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88.504,27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109.001,45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20.497,18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20.497,18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 ostvareni su prihodi poslovanja u iznosu od 88.504,27 eura, dok su rashodi poslovanja ostvareni u iznosu od 109.001,45 eura te je iskazan manjak prihoda poslovanja u iznosu od 20.497,18 eura.
Manjak prihoda odnosi se na račune  ( i plaću ) za koje su rashodi evidentirani do 30. rujna 2025. godine, ali im je dospijeće nakon izvještajnog razdoblja ( modificirano računovodstveno načelo nastanka događaja ).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I IZDACI (šifre Y034+5)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Y345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109.001,45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Državnim proračunom Republike Hrvatske za 2025. godinu i projekcijama za 2026. i 2027. godinu ( NN 149/24 ) za glavu 04125 – Braniteljski centar odobrena su sredstva u iznosu od 300.000,00 eura.  
 U izvještajnom razdoblju proračun Braniteljskog centra izvršen je u iznosu od 109.001,45 eura, odnosno indeks izvršenja iznosi 36,33%
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20.515,38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Obveze na kraju izvještajnog razdoblja odnose se na slijedeće:
-	19.867,37 eura – plaća za mjesec rujan ( isplaćeno u listopadu )
-	   18,20 eura – međusobne obveze ( bolovanje na teret HZZO-a )
-	  629,81 eura – režijski troškovi za mjesec rujan, dospijeće u listopadu 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kraju izvještajnog razdoblja nisu evidentirane dospjele nepodmirene obveze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0f1e6c93f04d55" /></Relationships>
</file>